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D6F7B9">
      <w:pPr>
        <w:overflowPunct w:val="0"/>
        <w:topLinePunct/>
        <w:autoSpaceDN w:val="0"/>
        <w:jc w:val="center"/>
        <w:rPr>
          <w:rFonts w:ascii="Times New Roman" w:hAnsi="Times New Roman" w:eastAsia="方正小标宋_GBK" w:cs="Times New Roman"/>
          <w:spacing w:val="-6"/>
          <w:sz w:val="44"/>
          <w:szCs w:val="44"/>
        </w:rPr>
      </w:pPr>
      <w:bookmarkStart w:id="1" w:name="_GoBack"/>
      <w:bookmarkEnd w:id="1"/>
      <w:bookmarkStart w:id="0" w:name="_Hlk223596575"/>
      <w:r>
        <w:rPr>
          <w:rFonts w:ascii="Times New Roman" w:hAnsi="Times New Roman" w:eastAsia="方正小标宋_GBK" w:cs="Times New Roman"/>
          <w:spacing w:val="-6"/>
          <w:sz w:val="44"/>
          <w:szCs w:val="32"/>
        </w:rPr>
        <w:t>关于单一来源采购安邦智库的情况说明</w:t>
      </w:r>
      <w:bookmarkEnd w:id="0"/>
    </w:p>
    <w:p w14:paraId="2A5C21F8">
      <w:pPr>
        <w:overflowPunct w:val="0"/>
        <w:topLinePunct/>
        <w:ind w:firstLine="619" w:firstLineChars="200"/>
        <w:rPr>
          <w:rFonts w:ascii="Times New Roman" w:hAnsi="Times New Roman" w:eastAsia="仿宋_GB2312" w:cs="Times New Roman"/>
          <w:b/>
          <w:spacing w:val="-6"/>
          <w:sz w:val="32"/>
          <w:szCs w:val="32"/>
        </w:rPr>
      </w:pPr>
      <w:r>
        <w:rPr>
          <w:rFonts w:hint="eastAsia" w:ascii="Times New Roman" w:hAnsi="Times New Roman" w:eastAsia="仿宋_GB2312" w:cs="Times New Roman"/>
          <w:b/>
          <w:spacing w:val="-6"/>
          <w:sz w:val="32"/>
          <w:szCs w:val="32"/>
        </w:rPr>
        <w:t>单一来源采购理由：</w:t>
      </w:r>
    </w:p>
    <w:p w14:paraId="05EC4971">
      <w:pPr>
        <w:numPr>
          <w:ilvl w:val="0"/>
          <w:numId w:val="1"/>
        </w:numPr>
        <w:overflowPunct w:val="0"/>
        <w:topLinePunct/>
        <w:autoSpaceDN w:val="0"/>
        <w:outlineLvl w:val="0"/>
        <w:rPr>
          <w:rFonts w:ascii="Times New Roman" w:hAnsi="Times New Roman" w:eastAsia="黑体" w:cs="Times New Roman"/>
          <w:spacing w:val="-6"/>
          <w:sz w:val="32"/>
          <w:szCs w:val="32"/>
        </w:rPr>
      </w:pPr>
      <w:r>
        <w:rPr>
          <w:rFonts w:hint="eastAsia" w:ascii="Times New Roman" w:hAnsi="Times New Roman" w:eastAsia="黑体" w:cs="Times New Roman"/>
          <w:spacing w:val="-6"/>
          <w:sz w:val="32"/>
          <w:szCs w:val="32"/>
        </w:rPr>
        <w:t>项目背景</w:t>
      </w:r>
    </w:p>
    <w:p w14:paraId="608B7650">
      <w:pPr>
        <w:overflowPunct w:val="0"/>
        <w:topLinePunct/>
        <w:ind w:firstLine="616" w:firstLineChars="200"/>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安邦智库（</w:t>
      </w:r>
      <w:r>
        <w:rPr>
          <w:rFonts w:ascii="Times New Roman" w:hAnsi="Times New Roman" w:eastAsia="仿宋_GB2312" w:cs="Times New Roman"/>
          <w:spacing w:val="-6"/>
          <w:sz w:val="32"/>
          <w:szCs w:val="32"/>
        </w:rPr>
        <w:t>ANBOUND</w:t>
      </w:r>
      <w:r>
        <w:rPr>
          <w:rFonts w:hint="eastAsia" w:ascii="Times New Roman" w:hAnsi="Times New Roman" w:eastAsia="仿宋_GB2312" w:cs="Times New Roman"/>
          <w:spacing w:val="-6"/>
          <w:sz w:val="32"/>
          <w:szCs w:val="32"/>
        </w:rPr>
        <w:t>）作为中国本土独立跨国智库，自</w:t>
      </w:r>
      <w:r>
        <w:rPr>
          <w:rFonts w:ascii="Times New Roman" w:hAnsi="Times New Roman" w:eastAsia="仿宋_GB2312" w:cs="Times New Roman"/>
          <w:spacing w:val="-6"/>
          <w:sz w:val="32"/>
          <w:szCs w:val="32"/>
        </w:rPr>
        <w:t>1993</w:t>
      </w:r>
      <w:r>
        <w:rPr>
          <w:rFonts w:hint="eastAsia" w:ascii="Times New Roman" w:hAnsi="Times New Roman" w:eastAsia="仿宋_GB2312" w:cs="Times New Roman"/>
          <w:spacing w:val="-6"/>
          <w:sz w:val="32"/>
          <w:szCs w:val="32"/>
        </w:rPr>
        <w:t>年成立以来，长期服务于党中央、国务院及各级地方政府，是国务院认可的民间咨询机构。其核心产品《政府大数据信息库》汇总各公开渠道有价值信息（信息过滤功能），涵盖范围广，内容有深度，涉及类型多，能持续追踪各类公共政策相关信息。</w:t>
      </w:r>
      <w:r>
        <w:rPr>
          <w:rFonts w:ascii="Times New Roman" w:hAnsi="Times New Roman" w:eastAsia="仿宋_GB2312" w:cs="Times New Roman"/>
          <w:spacing w:val="-6"/>
          <w:sz w:val="32"/>
          <w:szCs w:val="32"/>
        </w:rPr>
        <w:t>32</w:t>
      </w:r>
      <w:r>
        <w:rPr>
          <w:rFonts w:hint="eastAsia" w:ascii="Times New Roman" w:hAnsi="Times New Roman" w:eastAsia="仿宋_GB2312" w:cs="Times New Roman"/>
          <w:spacing w:val="-6"/>
          <w:sz w:val="32"/>
          <w:szCs w:val="32"/>
        </w:rPr>
        <w:t>年来，安邦智库多项政策建议（如</w:t>
      </w:r>
      <w:r>
        <w:rPr>
          <w:rFonts w:ascii="Times New Roman" w:hAnsi="Times New Roman" w:eastAsia="仿宋_GB2312" w:cs="Times New Roman"/>
          <w:spacing w:val="-6"/>
          <w:sz w:val="32"/>
          <w:szCs w:val="32"/>
        </w:rPr>
        <w:t>“</w:t>
      </w:r>
      <w:r>
        <w:rPr>
          <w:rFonts w:hint="eastAsia" w:ascii="Times New Roman" w:hAnsi="Times New Roman" w:eastAsia="仿宋_GB2312" w:cs="Times New Roman"/>
          <w:spacing w:val="-6"/>
          <w:sz w:val="32"/>
          <w:szCs w:val="32"/>
        </w:rPr>
        <w:t>人民币汇率改革</w:t>
      </w:r>
      <w:r>
        <w:rPr>
          <w:rFonts w:ascii="Times New Roman" w:hAnsi="Times New Roman" w:eastAsia="仿宋_GB2312" w:cs="Times New Roman"/>
          <w:spacing w:val="-6"/>
          <w:sz w:val="32"/>
          <w:szCs w:val="32"/>
        </w:rPr>
        <w:t>”“</w:t>
      </w:r>
      <w:r>
        <w:rPr>
          <w:rFonts w:hint="eastAsia" w:ascii="Times New Roman" w:hAnsi="Times New Roman" w:eastAsia="仿宋_GB2312" w:cs="Times New Roman"/>
          <w:spacing w:val="-6"/>
          <w:sz w:val="32"/>
          <w:szCs w:val="32"/>
        </w:rPr>
        <w:t>新丝绸之路共同市场战略</w:t>
      </w:r>
      <w:r>
        <w:rPr>
          <w:rFonts w:ascii="Times New Roman" w:hAnsi="Times New Roman" w:eastAsia="仿宋_GB2312" w:cs="Times New Roman"/>
          <w:spacing w:val="-6"/>
          <w:sz w:val="32"/>
          <w:szCs w:val="32"/>
        </w:rPr>
        <w:t>”“</w:t>
      </w:r>
      <w:r>
        <w:rPr>
          <w:rFonts w:hint="eastAsia" w:ascii="Times New Roman" w:hAnsi="Times New Roman" w:eastAsia="仿宋_GB2312" w:cs="Times New Roman"/>
          <w:spacing w:val="-6"/>
          <w:sz w:val="32"/>
          <w:szCs w:val="32"/>
        </w:rPr>
        <w:t>股权财政</w:t>
      </w:r>
      <w:r>
        <w:rPr>
          <w:rFonts w:ascii="Times New Roman" w:hAnsi="Times New Roman" w:eastAsia="仿宋_GB2312" w:cs="Times New Roman"/>
          <w:spacing w:val="-6"/>
          <w:sz w:val="32"/>
          <w:szCs w:val="32"/>
        </w:rPr>
        <w:t>”</w:t>
      </w:r>
      <w:r>
        <w:rPr>
          <w:rFonts w:hint="eastAsia" w:ascii="Times New Roman" w:hAnsi="Times New Roman" w:eastAsia="仿宋_GB2312" w:cs="Times New Roman"/>
          <w:spacing w:val="-6"/>
          <w:sz w:val="32"/>
          <w:szCs w:val="32"/>
        </w:rPr>
        <w:t>等）被中央采纳并转化为实际政策，被评价为</w:t>
      </w:r>
      <w:r>
        <w:rPr>
          <w:rFonts w:ascii="Times New Roman" w:hAnsi="Times New Roman" w:eastAsia="仿宋_GB2312" w:cs="Times New Roman"/>
          <w:spacing w:val="-6"/>
          <w:sz w:val="32"/>
          <w:szCs w:val="32"/>
        </w:rPr>
        <w:t>“</w:t>
      </w:r>
      <w:r>
        <w:rPr>
          <w:rFonts w:hint="eastAsia" w:ascii="Times New Roman" w:hAnsi="Times New Roman" w:eastAsia="仿宋_GB2312" w:cs="Times New Roman"/>
          <w:spacing w:val="-6"/>
          <w:sz w:val="32"/>
          <w:szCs w:val="32"/>
        </w:rPr>
        <w:t>政策的风向标</w:t>
      </w:r>
      <w:r>
        <w:rPr>
          <w:rFonts w:ascii="Times New Roman" w:hAnsi="Times New Roman" w:eastAsia="仿宋_GB2312" w:cs="Times New Roman"/>
          <w:spacing w:val="-6"/>
          <w:sz w:val="32"/>
          <w:szCs w:val="32"/>
        </w:rPr>
        <w:t>”</w:t>
      </w:r>
      <w:r>
        <w:rPr>
          <w:rFonts w:hint="eastAsia" w:ascii="Times New Roman" w:hAnsi="Times New Roman" w:eastAsia="仿宋_GB2312" w:cs="Times New Roman"/>
          <w:spacing w:val="-6"/>
          <w:sz w:val="32"/>
          <w:szCs w:val="32"/>
        </w:rPr>
        <w:t>。为确保政策研判的连续性、权威性与安全性，需持续获取其独家的信息分析服务。</w:t>
      </w:r>
    </w:p>
    <w:p w14:paraId="0B8C8206">
      <w:pPr>
        <w:numPr>
          <w:ilvl w:val="0"/>
          <w:numId w:val="1"/>
        </w:numPr>
        <w:overflowPunct w:val="0"/>
        <w:topLinePunct/>
        <w:autoSpaceDN w:val="0"/>
        <w:outlineLvl w:val="0"/>
        <w:rPr>
          <w:rFonts w:ascii="Times New Roman" w:hAnsi="Times New Roman" w:eastAsia="黑体" w:cs="Times New Roman"/>
          <w:spacing w:val="-6"/>
          <w:sz w:val="32"/>
          <w:szCs w:val="32"/>
        </w:rPr>
      </w:pPr>
      <w:r>
        <w:rPr>
          <w:rFonts w:hint="eastAsia" w:ascii="Times New Roman" w:hAnsi="Times New Roman" w:eastAsia="黑体" w:cs="Times New Roman"/>
          <w:spacing w:val="-6"/>
          <w:sz w:val="32"/>
          <w:szCs w:val="32"/>
        </w:rPr>
        <w:t>技术唯一性</w:t>
      </w:r>
    </w:p>
    <w:p w14:paraId="7DE2037D">
      <w:pPr>
        <w:overflowPunct w:val="0"/>
        <w:topLinePunct/>
        <w:ind w:firstLine="619" w:firstLineChars="200"/>
        <w:rPr>
          <w:rFonts w:ascii="Times New Roman" w:hAnsi="Times New Roman" w:eastAsia="仿宋_GB2312" w:cs="Times New Roman"/>
          <w:spacing w:val="-6"/>
          <w:sz w:val="32"/>
          <w:szCs w:val="32"/>
        </w:rPr>
      </w:pPr>
      <w:r>
        <w:rPr>
          <w:rFonts w:hint="eastAsia" w:ascii="Times New Roman" w:hAnsi="Times New Roman" w:eastAsia="仿宋_GB2312" w:cs="Times New Roman"/>
          <w:b/>
          <w:spacing w:val="-6"/>
          <w:sz w:val="32"/>
          <w:szCs w:val="32"/>
        </w:rPr>
        <w:t>数据积累与分析能力：</w:t>
      </w:r>
      <w:r>
        <w:rPr>
          <w:rFonts w:hint="eastAsia" w:ascii="Times New Roman" w:hAnsi="Times New Roman" w:eastAsia="仿宋_GB2312" w:cs="Times New Roman"/>
          <w:spacing w:val="-6"/>
          <w:sz w:val="32"/>
          <w:szCs w:val="32"/>
        </w:rPr>
        <w:t>安邦智库拥有</w:t>
      </w:r>
      <w:r>
        <w:rPr>
          <w:rFonts w:ascii="Times New Roman" w:hAnsi="Times New Roman" w:eastAsia="仿宋_GB2312" w:cs="Times New Roman"/>
          <w:spacing w:val="-6"/>
          <w:sz w:val="32"/>
          <w:szCs w:val="32"/>
        </w:rPr>
        <w:t>32</w:t>
      </w:r>
      <w:r>
        <w:rPr>
          <w:rFonts w:hint="eastAsia" w:ascii="Times New Roman" w:hAnsi="Times New Roman" w:eastAsia="仿宋_GB2312" w:cs="Times New Roman"/>
          <w:spacing w:val="-6"/>
          <w:sz w:val="32"/>
          <w:szCs w:val="32"/>
        </w:rPr>
        <w:t>年连续追踪中国经济、金融、地缘政治等领域的历史数据库，积累了大量独家一手资料及政策反馈案例，其研究模型与分析方法经过长期验证，能够精准预判趋势并提供风险预警。</w:t>
      </w:r>
    </w:p>
    <w:p w14:paraId="22F7C5CA">
      <w:pPr>
        <w:overflowPunct w:val="0"/>
        <w:topLinePunct/>
        <w:ind w:firstLine="619" w:firstLineChars="200"/>
        <w:rPr>
          <w:rFonts w:ascii="Times New Roman" w:hAnsi="Times New Roman" w:eastAsia="仿宋_GB2312" w:cs="Times New Roman"/>
          <w:spacing w:val="-6"/>
          <w:sz w:val="32"/>
          <w:szCs w:val="32"/>
        </w:rPr>
      </w:pPr>
      <w:r>
        <w:rPr>
          <w:rFonts w:hint="eastAsia" w:ascii="Times New Roman" w:hAnsi="Times New Roman" w:eastAsia="仿宋_GB2312" w:cs="Times New Roman"/>
          <w:b/>
          <w:spacing w:val="-6"/>
          <w:sz w:val="32"/>
          <w:szCs w:val="32"/>
        </w:rPr>
        <w:t>政策影响力与前瞻性：</w:t>
      </w:r>
      <w:r>
        <w:rPr>
          <w:rFonts w:hint="eastAsia" w:ascii="Times New Roman" w:hAnsi="Times New Roman" w:eastAsia="仿宋_GB2312" w:cs="Times New Roman"/>
          <w:spacing w:val="-6"/>
          <w:sz w:val="32"/>
          <w:szCs w:val="32"/>
        </w:rPr>
        <w:t>作为唯一通过中央财经委专线直接向国务院报送研究成果的民间智库，其报告内容兼具时效性与战略高度，覆盖国际国内重大议题，其他机构无法复现其政策转化能力与高层决策支持经验。</w:t>
      </w:r>
    </w:p>
    <w:p w14:paraId="66A604A8">
      <w:pPr>
        <w:overflowPunct w:val="0"/>
        <w:topLinePunct/>
        <w:ind w:firstLine="619" w:firstLineChars="200"/>
        <w:rPr>
          <w:rFonts w:ascii="Times New Roman" w:hAnsi="Times New Roman" w:eastAsia="仿宋_GB2312" w:cs="Times New Roman"/>
          <w:spacing w:val="-6"/>
          <w:sz w:val="32"/>
          <w:szCs w:val="32"/>
        </w:rPr>
      </w:pPr>
      <w:r>
        <w:rPr>
          <w:rFonts w:hint="eastAsia" w:ascii="Times New Roman" w:hAnsi="Times New Roman" w:eastAsia="仿宋_GB2312" w:cs="Times New Roman"/>
          <w:b/>
          <w:spacing w:val="-6"/>
          <w:sz w:val="32"/>
          <w:szCs w:val="32"/>
        </w:rPr>
        <w:t>定制化服务技术架构：</w:t>
      </w:r>
      <w:r>
        <w:rPr>
          <w:rFonts w:hint="eastAsia" w:ascii="Times New Roman" w:hAnsi="Times New Roman" w:eastAsia="仿宋_GB2312" w:cs="Times New Roman"/>
          <w:spacing w:val="-6"/>
          <w:sz w:val="32"/>
          <w:szCs w:val="32"/>
        </w:rPr>
        <w:t>安邦提供专属账号登录、实时信息推送（</w:t>
      </w:r>
      <w:r>
        <w:rPr>
          <w:rFonts w:ascii="Times New Roman" w:hAnsi="Times New Roman" w:eastAsia="仿宋_GB2312" w:cs="Times New Roman"/>
          <w:spacing w:val="-6"/>
          <w:sz w:val="32"/>
          <w:szCs w:val="32"/>
        </w:rPr>
        <w:t>APP/</w:t>
      </w:r>
      <w:r>
        <w:rPr>
          <w:rFonts w:hint="eastAsia" w:ascii="Times New Roman" w:hAnsi="Times New Roman" w:eastAsia="仿宋_GB2312" w:cs="Times New Roman"/>
          <w:spacing w:val="-6"/>
          <w:sz w:val="32"/>
          <w:szCs w:val="32"/>
        </w:rPr>
        <w:t>微信群</w:t>
      </w:r>
      <w:r>
        <w:rPr>
          <w:rFonts w:ascii="Times New Roman" w:hAnsi="Times New Roman" w:eastAsia="仿宋_GB2312" w:cs="Times New Roman"/>
          <w:spacing w:val="-6"/>
          <w:sz w:val="32"/>
          <w:szCs w:val="32"/>
        </w:rPr>
        <w:t>/</w:t>
      </w:r>
      <w:r>
        <w:rPr>
          <w:rFonts w:hint="eastAsia" w:ascii="Times New Roman" w:hAnsi="Times New Roman" w:eastAsia="仿宋_GB2312" w:cs="Times New Roman"/>
          <w:spacing w:val="-6"/>
          <w:sz w:val="32"/>
          <w:szCs w:val="32"/>
        </w:rPr>
        <w:t>邮箱）、一对一售后支持等技术服务，其系统权限与内容分发机制需经授权绑定，具有专属性与不可替代性，无法通过公开市场获取同等服务。</w:t>
      </w:r>
    </w:p>
    <w:p w14:paraId="7E7E1AD0">
      <w:pPr>
        <w:numPr>
          <w:ilvl w:val="0"/>
          <w:numId w:val="1"/>
        </w:numPr>
        <w:overflowPunct w:val="0"/>
        <w:topLinePunct/>
        <w:autoSpaceDN w:val="0"/>
        <w:outlineLvl w:val="0"/>
        <w:rPr>
          <w:rFonts w:ascii="Times New Roman" w:hAnsi="Times New Roman" w:eastAsia="黑体" w:cs="Times New Roman"/>
          <w:spacing w:val="-6"/>
          <w:sz w:val="32"/>
          <w:szCs w:val="32"/>
        </w:rPr>
      </w:pPr>
      <w:r>
        <w:rPr>
          <w:rFonts w:hint="eastAsia" w:ascii="Times New Roman" w:hAnsi="Times New Roman" w:eastAsia="黑体" w:cs="Times New Roman"/>
          <w:spacing w:val="-6"/>
          <w:sz w:val="32"/>
          <w:szCs w:val="32"/>
        </w:rPr>
        <w:t>供应商唯一性</w:t>
      </w:r>
    </w:p>
    <w:p w14:paraId="58FF27B5">
      <w:pPr>
        <w:overflowPunct w:val="0"/>
        <w:topLinePunct/>
        <w:ind w:firstLine="619" w:firstLineChars="200"/>
        <w:rPr>
          <w:rFonts w:ascii="Times New Roman" w:hAnsi="Times New Roman" w:eastAsia="仿宋_GB2312" w:cs="Times New Roman"/>
          <w:spacing w:val="-6"/>
          <w:sz w:val="32"/>
          <w:szCs w:val="32"/>
        </w:rPr>
      </w:pPr>
      <w:r>
        <w:rPr>
          <w:rFonts w:hint="eastAsia" w:ascii="Times New Roman" w:hAnsi="Times New Roman" w:eastAsia="仿宋_GB2312" w:cs="Times New Roman"/>
          <w:b/>
          <w:spacing w:val="-6"/>
          <w:sz w:val="32"/>
          <w:szCs w:val="32"/>
        </w:rPr>
        <w:t>历史积淀与权威资质：</w:t>
      </w:r>
      <w:r>
        <w:rPr>
          <w:rFonts w:hint="eastAsia" w:ascii="Times New Roman" w:hAnsi="Times New Roman" w:eastAsia="仿宋_GB2312" w:cs="Times New Roman"/>
          <w:spacing w:val="-6"/>
          <w:sz w:val="32"/>
          <w:szCs w:val="32"/>
        </w:rPr>
        <w:t>安邦智库是国内少有的经国务院认可、长期服务中央决策层的独立智库，其品牌公信力与政策影响力无法被其他咨询机构替代。</w:t>
      </w:r>
    </w:p>
    <w:p w14:paraId="6B4668C8">
      <w:pPr>
        <w:overflowPunct w:val="0"/>
        <w:topLinePunct/>
        <w:ind w:firstLine="619" w:firstLineChars="200"/>
        <w:rPr>
          <w:rFonts w:ascii="Times New Roman" w:hAnsi="Times New Roman" w:eastAsia="仿宋_GB2312" w:cs="Times New Roman"/>
          <w:spacing w:val="-6"/>
          <w:sz w:val="32"/>
          <w:szCs w:val="32"/>
        </w:rPr>
      </w:pPr>
      <w:r>
        <w:rPr>
          <w:rFonts w:hint="eastAsia" w:ascii="Times New Roman" w:hAnsi="Times New Roman" w:eastAsia="仿宋_GB2312" w:cs="Times New Roman"/>
          <w:b/>
          <w:spacing w:val="-6"/>
          <w:sz w:val="32"/>
          <w:szCs w:val="32"/>
        </w:rPr>
        <w:t>独家内容授权：</w:t>
      </w:r>
      <w:r>
        <w:rPr>
          <w:rFonts w:hint="eastAsia" w:ascii="Times New Roman" w:hAnsi="Times New Roman" w:eastAsia="仿宋_GB2312" w:cs="Times New Roman"/>
          <w:spacing w:val="-6"/>
          <w:sz w:val="32"/>
          <w:szCs w:val="32"/>
        </w:rPr>
        <w:t>《政府大数据信息库》等产品的内容版权及服务权限由安邦智库及其授权机构重庆安之信投资咨询有限公司独家所有，市场上无同类竞品可提供同等深度、广度的政策分析与金融动态研判。</w:t>
      </w:r>
    </w:p>
    <w:p w14:paraId="00348756">
      <w:pPr>
        <w:overflowPunct w:val="0"/>
        <w:topLinePunct/>
        <w:ind w:firstLine="619" w:firstLineChars="200"/>
        <w:rPr>
          <w:rFonts w:ascii="Times New Roman" w:hAnsi="Times New Roman" w:eastAsia="仿宋_GB2312" w:cs="Times New Roman"/>
          <w:spacing w:val="-6"/>
          <w:sz w:val="32"/>
          <w:szCs w:val="32"/>
        </w:rPr>
      </w:pPr>
      <w:r>
        <w:rPr>
          <w:rFonts w:hint="eastAsia" w:ascii="Times New Roman" w:hAnsi="Times New Roman" w:eastAsia="仿宋_GB2312" w:cs="Times New Roman"/>
          <w:b/>
          <w:spacing w:val="-6"/>
          <w:sz w:val="32"/>
          <w:szCs w:val="32"/>
        </w:rPr>
        <w:t>服务模式独特性：</w:t>
      </w:r>
      <w:r>
        <w:rPr>
          <w:rFonts w:hint="eastAsia" w:ascii="Times New Roman" w:hAnsi="Times New Roman" w:eastAsia="仿宋_GB2312" w:cs="Times New Roman"/>
          <w:spacing w:val="-6"/>
          <w:sz w:val="32"/>
          <w:szCs w:val="32"/>
        </w:rPr>
        <w:t>安邦的账号绑定机制、中央专线报送渠道及定制化售后支持体系，均需依托其特定技术平台与授权合作方完成，其他供应商不具备接入条件或服务能力。</w:t>
      </w:r>
    </w:p>
    <w:p w14:paraId="452E950E">
      <w:pPr>
        <w:numPr>
          <w:ilvl w:val="0"/>
          <w:numId w:val="1"/>
        </w:numPr>
        <w:overflowPunct w:val="0"/>
        <w:topLinePunct/>
        <w:autoSpaceDN w:val="0"/>
        <w:outlineLvl w:val="0"/>
        <w:rPr>
          <w:rFonts w:ascii="Times New Roman" w:hAnsi="Times New Roman" w:eastAsia="黑体" w:cs="Times New Roman"/>
          <w:spacing w:val="-6"/>
          <w:sz w:val="32"/>
          <w:szCs w:val="32"/>
        </w:rPr>
      </w:pPr>
      <w:r>
        <w:rPr>
          <w:rFonts w:hint="eastAsia" w:ascii="Times New Roman" w:hAnsi="Times New Roman" w:eastAsia="黑体" w:cs="Times New Roman"/>
          <w:spacing w:val="-6"/>
          <w:sz w:val="32"/>
          <w:szCs w:val="32"/>
        </w:rPr>
        <w:t>法律依据</w:t>
      </w:r>
    </w:p>
    <w:p w14:paraId="4995C381">
      <w:pPr>
        <w:overflowPunct w:val="0"/>
        <w:topLinePunct/>
        <w:ind w:firstLine="616" w:firstLineChars="200"/>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根据《中华人民共和国政府采购法》第三十一条第一款规定，符合</w:t>
      </w:r>
      <w:r>
        <w:rPr>
          <w:rFonts w:ascii="Times New Roman" w:hAnsi="Times New Roman" w:eastAsia="仿宋_GB2312" w:cs="Times New Roman"/>
          <w:spacing w:val="-6"/>
          <w:sz w:val="32"/>
          <w:szCs w:val="32"/>
        </w:rPr>
        <w:t>“</w:t>
      </w:r>
      <w:r>
        <w:rPr>
          <w:rFonts w:hint="eastAsia" w:ascii="Times New Roman" w:hAnsi="Times New Roman" w:eastAsia="仿宋_GB2312" w:cs="Times New Roman"/>
          <w:spacing w:val="-6"/>
          <w:sz w:val="32"/>
          <w:szCs w:val="32"/>
        </w:rPr>
        <w:t>只能从唯一供应商处采购</w:t>
      </w:r>
      <w:r>
        <w:rPr>
          <w:rFonts w:ascii="Times New Roman" w:hAnsi="Times New Roman" w:eastAsia="仿宋_GB2312" w:cs="Times New Roman"/>
          <w:spacing w:val="-6"/>
          <w:sz w:val="32"/>
          <w:szCs w:val="32"/>
        </w:rPr>
        <w:t>”</w:t>
      </w:r>
      <w:r>
        <w:rPr>
          <w:rFonts w:hint="eastAsia" w:ascii="Times New Roman" w:hAnsi="Times New Roman" w:eastAsia="仿宋_GB2312" w:cs="Times New Roman"/>
          <w:spacing w:val="-6"/>
          <w:sz w:val="32"/>
          <w:szCs w:val="32"/>
        </w:rPr>
        <w:t>的情形。具体理由如下：</w:t>
      </w:r>
    </w:p>
    <w:p w14:paraId="410ACE63">
      <w:pPr>
        <w:overflowPunct w:val="0"/>
        <w:topLinePunct/>
        <w:ind w:firstLine="619" w:firstLineChars="200"/>
        <w:rPr>
          <w:rFonts w:ascii="Times New Roman" w:hAnsi="Times New Roman" w:eastAsia="仿宋_GB2312" w:cs="Times New Roman"/>
          <w:spacing w:val="-6"/>
          <w:sz w:val="32"/>
          <w:szCs w:val="32"/>
        </w:rPr>
      </w:pPr>
      <w:r>
        <w:rPr>
          <w:rFonts w:hint="eastAsia" w:ascii="Times New Roman" w:hAnsi="Times New Roman" w:eastAsia="仿宋_GB2312" w:cs="Times New Roman"/>
          <w:b/>
          <w:spacing w:val="-6"/>
          <w:sz w:val="32"/>
          <w:szCs w:val="32"/>
        </w:rPr>
        <w:t>唯一供应商认定：</w:t>
      </w:r>
      <w:r>
        <w:rPr>
          <w:rFonts w:hint="eastAsia" w:ascii="Times New Roman" w:hAnsi="Times New Roman" w:eastAsia="仿宋_GB2312" w:cs="Times New Roman"/>
          <w:spacing w:val="-6"/>
          <w:sz w:val="32"/>
          <w:szCs w:val="32"/>
        </w:rPr>
        <w:t>安邦智库及其授权机构重庆安之信投资咨询有限公司是《政府大数据信息库》等服务的唯一版权方及技术提供方，市场上无其他合法供应商可提供相同内容或等效服务。</w:t>
      </w:r>
    </w:p>
    <w:p w14:paraId="7772B5AA">
      <w:pPr>
        <w:overflowPunct w:val="0"/>
        <w:topLinePunct/>
        <w:ind w:firstLine="619" w:firstLineChars="200"/>
        <w:rPr>
          <w:rFonts w:ascii="Times New Roman" w:hAnsi="Times New Roman" w:eastAsia="仿宋_GB2312" w:cs="Times New Roman"/>
          <w:spacing w:val="-6"/>
          <w:sz w:val="32"/>
          <w:szCs w:val="32"/>
        </w:rPr>
      </w:pPr>
      <w:r>
        <w:rPr>
          <w:rFonts w:hint="eastAsia" w:ascii="Times New Roman" w:hAnsi="Times New Roman" w:eastAsia="仿宋_GB2312" w:cs="Times New Roman"/>
          <w:b/>
          <w:spacing w:val="-6"/>
          <w:sz w:val="32"/>
          <w:szCs w:val="32"/>
        </w:rPr>
        <w:t>不可替代性：</w:t>
      </w:r>
      <w:r>
        <w:rPr>
          <w:rFonts w:hint="eastAsia" w:ascii="Times New Roman" w:hAnsi="Times New Roman" w:eastAsia="仿宋_GB2312" w:cs="Times New Roman"/>
          <w:spacing w:val="-6"/>
          <w:sz w:val="32"/>
          <w:szCs w:val="32"/>
        </w:rPr>
        <w:t>其历史数据积累、政策转化能力、中央专线报送权限及定制化服务体系具有高度独占性，无法通过公开招标或竞争性谈判获取替代方案。</w:t>
      </w:r>
    </w:p>
    <w:p w14:paraId="7BD195B9">
      <w:pPr>
        <w:overflowPunct w:val="0"/>
        <w:topLinePunct/>
        <w:ind w:firstLine="619" w:firstLineChars="200"/>
        <w:rPr>
          <w:rFonts w:hint="eastAsia" w:ascii="仿宋" w:hAnsi="仿宋" w:eastAsia="仿宋" w:cs="仿宋"/>
          <w:spacing w:val="-6"/>
          <w:sz w:val="32"/>
          <w:szCs w:val="32"/>
        </w:rPr>
      </w:pPr>
      <w:r>
        <w:rPr>
          <w:rFonts w:hint="eastAsia" w:ascii="Times New Roman" w:hAnsi="Times New Roman" w:eastAsia="仿宋_GB2312" w:cs="Times New Roman"/>
          <w:b/>
          <w:spacing w:val="-6"/>
          <w:sz w:val="32"/>
          <w:szCs w:val="32"/>
        </w:rPr>
        <w:t>综上，本项目符合单一来源采购的法定条件，依法采用单一来源采购方式实施。</w:t>
      </w:r>
    </w:p>
    <w:p w14:paraId="3B8588AD">
      <w:pPr>
        <w:ind w:firstLine="560" w:firstLineChars="200"/>
        <w:rPr>
          <w:rFonts w:hint="eastAsia" w:ascii="仿宋" w:hAnsi="仿宋" w:eastAsia="仿宋" w:cs="仿宋_GB2312"/>
          <w:sz w:val="28"/>
          <w:szCs w:val="28"/>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232041"/>
      <w:docPartObj>
        <w:docPartGallery w:val="autotext"/>
      </w:docPartObj>
    </w:sdtPr>
    <w:sdtContent>
      <w:p w14:paraId="126C2C96">
        <w:pPr>
          <w:pStyle w:val="11"/>
          <w:jc w:val="center"/>
          <w:rPr>
            <w:rFonts w:hint="eastAsia"/>
          </w:rPr>
        </w:pPr>
        <w:r>
          <w:fldChar w:fldCharType="begin"/>
        </w:r>
        <w:r>
          <w:instrText xml:space="preserve">PAGE   \* MERGEFORMAT</w:instrText>
        </w:r>
        <w:r>
          <w:fldChar w:fldCharType="separate"/>
        </w:r>
        <w:r>
          <w:rPr>
            <w:lang w:val="zh-CN"/>
          </w:rPr>
          <w:t>2</w:t>
        </w:r>
        <w:r>
          <w:fldChar w:fldCharType="end"/>
        </w:r>
      </w:p>
    </w:sdtContent>
  </w:sdt>
  <w:p w14:paraId="2D245C79">
    <w:pPr>
      <w:pStyle w:val="11"/>
      <w:rPr>
        <w:rFonts w:hint="eastAsia"/>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391728"/>
    <w:multiLevelType w:val="singleLevel"/>
    <w:tmpl w:val="13391728"/>
    <w:lvl w:ilvl="0" w:tentative="0">
      <w:start w:val="1"/>
      <w:numFmt w:val="chineseCounting"/>
      <w:suff w:val="nothing"/>
      <w:lvlText w:val="%1、"/>
      <w:lvlJc w:val="left"/>
      <w:pPr>
        <w:ind w:left="0" w:firstLine="616"/>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k0YzlkZTk0NGUxYWNhNjk3ZjI5NmEyNmZkMjQwOTUifQ=="/>
  </w:docVars>
  <w:rsids>
    <w:rsidRoot w:val="006A3047"/>
    <w:rsid w:val="001A5DEF"/>
    <w:rsid w:val="001C7741"/>
    <w:rsid w:val="002A65F1"/>
    <w:rsid w:val="002D7C30"/>
    <w:rsid w:val="00512899"/>
    <w:rsid w:val="005279CB"/>
    <w:rsid w:val="005C3E29"/>
    <w:rsid w:val="00620CEB"/>
    <w:rsid w:val="006A3047"/>
    <w:rsid w:val="00741089"/>
    <w:rsid w:val="009C26E6"/>
    <w:rsid w:val="00A01161"/>
    <w:rsid w:val="00A417A0"/>
    <w:rsid w:val="00AE4B7D"/>
    <w:rsid w:val="00AF012B"/>
    <w:rsid w:val="00BE14AA"/>
    <w:rsid w:val="00C32EE9"/>
    <w:rsid w:val="00C34ED8"/>
    <w:rsid w:val="00D37977"/>
    <w:rsid w:val="00DC06C2"/>
    <w:rsid w:val="00FA7A4C"/>
    <w:rsid w:val="1E9E4E42"/>
    <w:rsid w:val="27050C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7"/>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19"/>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0"/>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1"/>
    <w:semiHidden/>
    <w:unhideWhenUsed/>
    <w:qFormat/>
    <w:uiPriority w:val="9"/>
    <w:pPr>
      <w:keepNext/>
      <w:keepLines/>
      <w:spacing w:before="80" w:after="40"/>
      <w:outlineLvl w:val="4"/>
    </w:pPr>
    <w:rPr>
      <w:rFonts w:cstheme="majorBidi"/>
      <w:color w:val="104862" w:themeColor="accent1" w:themeShade="BF"/>
      <w:sz w:val="24"/>
      <w:szCs w:val="24"/>
    </w:rPr>
  </w:style>
  <w:style w:type="paragraph" w:styleId="7">
    <w:name w:val="heading 6"/>
    <w:basedOn w:val="1"/>
    <w:next w:val="1"/>
    <w:link w:val="22"/>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23"/>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5"/>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6"/>
    <w:unhideWhenUsed/>
    <w:qFormat/>
    <w:uiPriority w:val="99"/>
    <w:pPr>
      <w:tabs>
        <w:tab w:val="center" w:pos="4153"/>
        <w:tab w:val="right" w:pos="8306"/>
      </w:tabs>
      <w:snapToGrid w:val="0"/>
      <w:jc w:val="left"/>
    </w:pPr>
    <w:rPr>
      <w:sz w:val="18"/>
      <w:szCs w:val="18"/>
    </w:rPr>
  </w:style>
  <w:style w:type="paragraph" w:styleId="12">
    <w:name w:val="header"/>
    <w:basedOn w:val="1"/>
    <w:link w:val="35"/>
    <w:unhideWhenUsed/>
    <w:qFormat/>
    <w:uiPriority w:val="99"/>
    <w:pPr>
      <w:tabs>
        <w:tab w:val="center" w:pos="4153"/>
        <w:tab w:val="right" w:pos="8306"/>
      </w:tabs>
      <w:snapToGrid w:val="0"/>
      <w:jc w:val="center"/>
    </w:pPr>
    <w:rPr>
      <w:sz w:val="18"/>
      <w:szCs w:val="18"/>
    </w:rPr>
  </w:style>
  <w:style w:type="paragraph" w:styleId="13">
    <w:name w:val="Subtitle"/>
    <w:basedOn w:val="1"/>
    <w:next w:val="1"/>
    <w:link w:val="27"/>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6"/>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customStyle="1" w:styleId="17">
    <w:name w:val="标题 1 字符"/>
    <w:basedOn w:val="16"/>
    <w:link w:val="2"/>
    <w:qFormat/>
    <w:uiPriority w:val="9"/>
    <w:rPr>
      <w:rFonts w:asciiTheme="majorHAnsi" w:hAnsiTheme="majorHAnsi" w:eastAsiaTheme="majorEastAsia" w:cstheme="majorBidi"/>
      <w:color w:val="104862" w:themeColor="accent1" w:themeShade="BF"/>
      <w:sz w:val="48"/>
      <w:szCs w:val="48"/>
    </w:rPr>
  </w:style>
  <w:style w:type="character" w:customStyle="1" w:styleId="18">
    <w:name w:val="标题 2 字符"/>
    <w:basedOn w:val="16"/>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19">
    <w:name w:val="标题 3 字符"/>
    <w:basedOn w:val="16"/>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0">
    <w:name w:val="标题 4 字符"/>
    <w:basedOn w:val="16"/>
    <w:link w:val="5"/>
    <w:semiHidden/>
    <w:qFormat/>
    <w:uiPriority w:val="9"/>
    <w:rPr>
      <w:rFonts w:cstheme="majorBidi"/>
      <w:color w:val="104862" w:themeColor="accent1" w:themeShade="BF"/>
      <w:sz w:val="28"/>
      <w:szCs w:val="28"/>
    </w:rPr>
  </w:style>
  <w:style w:type="character" w:customStyle="1" w:styleId="21">
    <w:name w:val="标题 5 字符"/>
    <w:basedOn w:val="16"/>
    <w:link w:val="6"/>
    <w:semiHidden/>
    <w:qFormat/>
    <w:uiPriority w:val="9"/>
    <w:rPr>
      <w:rFonts w:cstheme="majorBidi"/>
      <w:color w:val="104862" w:themeColor="accent1" w:themeShade="BF"/>
      <w:sz w:val="24"/>
      <w:szCs w:val="24"/>
    </w:rPr>
  </w:style>
  <w:style w:type="character" w:customStyle="1" w:styleId="22">
    <w:name w:val="标题 6 字符"/>
    <w:basedOn w:val="16"/>
    <w:link w:val="7"/>
    <w:semiHidden/>
    <w:qFormat/>
    <w:uiPriority w:val="9"/>
    <w:rPr>
      <w:rFonts w:cstheme="majorBidi"/>
      <w:b/>
      <w:bCs/>
      <w:color w:val="104862" w:themeColor="accent1" w:themeShade="BF"/>
    </w:rPr>
  </w:style>
  <w:style w:type="character" w:customStyle="1" w:styleId="23">
    <w:name w:val="标题 7 字符"/>
    <w:basedOn w:val="16"/>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4">
    <w:name w:val="标题 8 字符"/>
    <w:basedOn w:val="16"/>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5">
    <w:name w:val="标题 9 字符"/>
    <w:basedOn w:val="16"/>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6">
    <w:name w:val="标题 字符"/>
    <w:basedOn w:val="16"/>
    <w:link w:val="14"/>
    <w:qFormat/>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29">
    <w:name w:val="引用 字符"/>
    <w:basedOn w:val="16"/>
    <w:link w:val="28"/>
    <w:qFormat/>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34"/>
    <w:pPr>
      <w:ind w:left="720"/>
      <w:contextualSpacing/>
    </w:pPr>
  </w:style>
  <w:style w:type="character" w:customStyle="1" w:styleId="31">
    <w:name w:val="Intense Emphasis"/>
    <w:basedOn w:val="16"/>
    <w:qFormat/>
    <w:uiPriority w:val="21"/>
    <w:rPr>
      <w:i/>
      <w:iCs/>
      <w:color w:val="104862" w:themeColor="accent1" w:themeShade="BF"/>
    </w:rPr>
  </w:style>
  <w:style w:type="paragraph" w:styleId="32">
    <w:name w:val="Intense Quote"/>
    <w:basedOn w:val="1"/>
    <w:next w:val="1"/>
    <w:link w:val="33"/>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3">
    <w:name w:val="明显引用 字符"/>
    <w:basedOn w:val="16"/>
    <w:link w:val="32"/>
    <w:qFormat/>
    <w:uiPriority w:val="30"/>
    <w:rPr>
      <w:i/>
      <w:iCs/>
      <w:color w:val="104862" w:themeColor="accent1" w:themeShade="BF"/>
    </w:rPr>
  </w:style>
  <w:style w:type="character" w:customStyle="1" w:styleId="34">
    <w:name w:val="Intense Reference"/>
    <w:basedOn w:val="16"/>
    <w:qFormat/>
    <w:uiPriority w:val="32"/>
    <w:rPr>
      <w:b/>
      <w:bCs/>
      <w:smallCaps/>
      <w:color w:val="104862" w:themeColor="accent1" w:themeShade="BF"/>
      <w:spacing w:val="5"/>
    </w:rPr>
  </w:style>
  <w:style w:type="character" w:customStyle="1" w:styleId="35">
    <w:name w:val="页眉 字符"/>
    <w:basedOn w:val="16"/>
    <w:link w:val="12"/>
    <w:qFormat/>
    <w:uiPriority w:val="99"/>
    <w:rPr>
      <w:sz w:val="18"/>
      <w:szCs w:val="18"/>
    </w:rPr>
  </w:style>
  <w:style w:type="character" w:customStyle="1" w:styleId="36">
    <w:name w:val="页脚 字符"/>
    <w:basedOn w:val="16"/>
    <w:link w:val="11"/>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1036</Words>
  <Characters>1052</Characters>
  <Lines>38</Lines>
  <Paragraphs>10</Paragraphs>
  <TotalTime>2</TotalTime>
  <ScaleCrop>false</ScaleCrop>
  <LinksUpToDate>false</LinksUpToDate>
  <CharactersWithSpaces>1052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2026-03-05T02:20:00Z</dcterms:created>
  <dc:creator>xueya zhao</dc:creator>
  <cp:lastModifiedBy>啊啊啊</cp:lastModifiedBy>
  <cp:lastPrinted>2026-03-05T02:29:00Z</cp:lastPrinted>
  <dcterms:modified xsi:type="dcterms:W3CDTF">2026-03-13T09:33:34Z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8CB97A3AD86140D2880B942754C0D40C_13</vt:lpwstr>
  </property>
</Properties>
</file>